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D0C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здравоохранения РФ от 21 марта 2014 г. N 125н Национальный календарь профилактических прививок РФ и календарь профилактических прививок по эпидемическим показаниям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Зарегистрировано в Минюсте России 25 апреля 2014 г. N 32115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  <w:r w:rsidRPr="00290D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В соответствии со статьями 9 и 10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N 48, ст. 6165; N 51, ст. 6688) приказываю:</w:t>
      </w:r>
      <w:proofErr w:type="gramEnd"/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Утвердить: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национальный календарь профилактических прививок согласно приложению N 1;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календарь профилактических прививок по эпидемическим пок</w:t>
      </w:r>
      <w:r>
        <w:rPr>
          <w:rFonts w:ascii="Times New Roman" w:hAnsi="Times New Roman" w:cs="Times New Roman"/>
          <w:sz w:val="24"/>
          <w:szCs w:val="24"/>
        </w:rPr>
        <w:t>азаниям согласно приложению N 2</w:t>
      </w:r>
    </w:p>
    <w:p w:rsidR="00290D0C" w:rsidRP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Министр</w:t>
      </w:r>
    </w:p>
    <w:p w:rsidR="00290D0C" w:rsidRP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D0C" w:rsidRP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290D0C">
        <w:rPr>
          <w:rFonts w:ascii="Times New Roman" w:hAnsi="Times New Roman" w:cs="Times New Roman"/>
          <w:b/>
          <w:bCs/>
          <w:sz w:val="24"/>
          <w:szCs w:val="24"/>
        </w:rPr>
        <w:t>НАЦИОНАЛЬНЫЙ КАЛЕНДАРЬ ПРОФИЛАКТИЧЕСКИХ ПРИВИВОК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3"/>
        <w:gridCol w:w="6947"/>
      </w:tblGrid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Новорожденные </w:t>
            </w: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24 часа жизни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вирусного гепатита B &lt;1&gt;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Новорожденные на 3 - 7 день жизни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Вакцинация против туберкулеза &lt;2&gt;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1 месяц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вирусного гепатита B &lt;1&gt;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2 месяца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вирусного гепатита B (группы риска) &lt;3&gt;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пневмококковой инфекции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3 месяца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полиомиелита &lt;4&gt;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вакцинация против гемофильной инфекции (группы риска) &lt;5&gt;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4,5 месяцев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гемофильной инфекции (группы риска) &lt;5&gt;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полиомиелита &lt;4&gt;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вакцинация против пневмококковой инфекции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6 месяцев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вирусного гепатита B &lt;1&gt;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Третья вакцинация против полиомиелита &lt;6&gt;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Третья вакцинация против гемофильной инфекции (группа риска) </w:t>
            </w: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&lt;5&gt;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12 месяцев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Вакцинация против кори, краснухи, эпидемического паротита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Четвертая вакцинация против вирусного гепатита B (группы риска) &lt;3&gt;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15 месяцев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пневмококковой инфекции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18 месяцев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ревакцинация против полиомиелита &lt;6&gt;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гемофильной инфекции (группы риска)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20 месяцев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полиомиелита &lt;6&gt;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6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кори, краснухи, эпидемического паротита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6 - 7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Вторая ревакцинация против дифтерии, столбняка &lt;7&gt;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туберкулеза &lt;8&gt;</w:t>
            </w:r>
          </w:p>
        </w:tc>
      </w:tr>
      <w:tr w:rsidR="00290D0C" w:rsidRPr="00290D0C" w:rsidTr="00290D0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14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дифтерии, столбняка &lt;7&gt;</w:t>
            </w:r>
          </w:p>
        </w:tc>
      </w:tr>
      <w:tr w:rsidR="00290D0C" w:rsidRPr="00290D0C" w:rsidTr="00290D0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Третья ревакцинация против полиомиелита &lt;6&gt;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Взрослые от 18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от 1 года до 18 лет, взрослые от 18 до 55 лет, не привитые ранее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Вакцинация против вирусного гепатита B &lt;9&gt;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Вакцинация против краснухи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Дети от 1 года до 18 лет включительно и взрослые в возрасте до 35 лет (включительно), не болевшие, не привитые, привитые однократно, не имеющие </w:t>
            </w: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прививках против кори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Вакцинация против кори &lt;10&gt;</w:t>
            </w:r>
          </w:p>
        </w:tc>
      </w:tr>
      <w:tr w:rsidR="00290D0C" w:rsidRPr="00290D0C" w:rsidTr="00290D0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лица с хроническими заболеваниями, в том числе с заболеваниями легких, </w:t>
            </w: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Вакцинация против гриппа</w:t>
            </w:r>
          </w:p>
        </w:tc>
      </w:tr>
    </w:tbl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  <w:sectPr w:rsidR="00290D0C" w:rsidRPr="00290D0C">
          <w:pgSz w:w="12240" w:h="15840"/>
          <w:pgMar w:top="1134" w:right="850" w:bottom="1134" w:left="1701" w:header="720" w:footer="720" w:gutter="0"/>
          <w:cols w:space="720"/>
        </w:sectPr>
      </w:pP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proofErr w:type="gramStart"/>
      <w:r w:rsidRPr="00290D0C">
        <w:rPr>
          <w:rFonts w:ascii="Times New Roman" w:hAnsi="Times New Roman" w:cs="Times New Roman"/>
          <w:sz w:val="24"/>
          <w:szCs w:val="24"/>
        </w:rP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прививки, 2 доза - через 2 месяца от начала вакцинации, 3 доза - через 12 месяцев от начала вакцинации).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290D0C">
        <w:rPr>
          <w:rFonts w:ascii="Times New Roman" w:hAnsi="Times New Roman" w:cs="Times New Roman"/>
          <w:sz w:val="24"/>
          <w:szCs w:val="24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4" w:name="Par92"/>
      <w:bookmarkEnd w:id="4"/>
      <w:proofErr w:type="gramStart"/>
      <w:r w:rsidRPr="00290D0C">
        <w:rPr>
          <w:rFonts w:ascii="Times New Roman" w:hAnsi="Times New Roman" w:cs="Times New Roman"/>
          <w:sz w:val="24"/>
          <w:szCs w:val="24"/>
        </w:rPr>
        <w:lastRenderedPageBreak/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или больной острым вирусным гепатитом B и хроническими вирусными гепатитами).</w:t>
      </w:r>
      <w:proofErr w:type="gramEnd"/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290D0C">
        <w:rPr>
          <w:rFonts w:ascii="Times New Roman" w:hAnsi="Times New Roman" w:cs="Times New Roman"/>
          <w:sz w:val="24"/>
          <w:szCs w:val="24"/>
        </w:rPr>
        <w:t>&lt;4&gt; Первая и вторая вакцинации проводятся вакциной для профилактики полиомиелита (инактивированной).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  <w:r w:rsidRPr="00290D0C">
        <w:rPr>
          <w:rFonts w:ascii="Times New Roman" w:hAnsi="Times New Roman" w:cs="Times New Roman"/>
          <w:sz w:val="24"/>
          <w:szCs w:val="24"/>
        </w:rPr>
        <w:t xml:space="preserve">&lt;5&gt; Вакцинация проводится детям, относящимся к группам риска (с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заболеваниями и/или длительно получающим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 w:rsidRPr="00290D0C">
        <w:rPr>
          <w:rFonts w:ascii="Times New Roman" w:hAnsi="Times New Roman" w:cs="Times New Roman"/>
          <w:sz w:val="24"/>
          <w:szCs w:val="24"/>
        </w:rP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290D0C">
        <w:rPr>
          <w:rFonts w:ascii="Times New Roman" w:hAnsi="Times New Roman" w:cs="Times New Roman"/>
          <w:sz w:val="24"/>
          <w:szCs w:val="24"/>
        </w:rPr>
        <w:t>&lt;7&gt; Вторая ревакцинация проводится анатоксинами с уменьшенным содержанием антигенов.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9" w:name="Par97"/>
      <w:bookmarkEnd w:id="9"/>
      <w:r w:rsidRPr="00290D0C">
        <w:rPr>
          <w:rFonts w:ascii="Times New Roman" w:hAnsi="Times New Roman" w:cs="Times New Roman"/>
          <w:sz w:val="24"/>
          <w:szCs w:val="24"/>
        </w:rPr>
        <w:t>&lt;8&gt; Ревакцинация проводится вакциной для профилактики туберкулеза (БЦЖ).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10" w:name="Par98"/>
      <w:bookmarkEnd w:id="10"/>
      <w:r w:rsidRPr="00290D0C">
        <w:rPr>
          <w:rFonts w:ascii="Times New Roman" w:hAnsi="Times New Roman" w:cs="Times New Roman"/>
          <w:sz w:val="24"/>
          <w:szCs w:val="24"/>
        </w:rP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11" w:name="Par99"/>
      <w:bookmarkEnd w:id="11"/>
      <w:r w:rsidRPr="00290D0C">
        <w:rPr>
          <w:rFonts w:ascii="Times New Roman" w:hAnsi="Times New Roman" w:cs="Times New Roman"/>
          <w:sz w:val="24"/>
          <w:szCs w:val="24"/>
        </w:rPr>
        <w:t>&lt;10&gt; Интервал между первой и второй прививками должен составлять не менее 3 месяцев.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bookmarkStart w:id="12" w:name="Par101"/>
      <w:bookmarkEnd w:id="12"/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t>проведения гражданам профилактических прививок в рамках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t>национального календаря профилактических прививок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2. Вакцинацию осуществляют медицинские работники, прошедшие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>" &lt;1&gt;.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0D0C">
        <w:rPr>
          <w:rFonts w:ascii="Times New Roman" w:hAnsi="Times New Roman" w:cs="Times New Roman"/>
          <w:sz w:val="24"/>
          <w:szCs w:val="24"/>
        </w:rPr>
        <w:t xml:space="preserve"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</w:t>
      </w:r>
      <w:r w:rsidRPr="00290D0C">
        <w:rPr>
          <w:rFonts w:ascii="Times New Roman" w:hAnsi="Times New Roman" w:cs="Times New Roman"/>
          <w:sz w:val="24"/>
          <w:szCs w:val="24"/>
        </w:rPr>
        <w:lastRenderedPageBreak/>
        <w:t>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6 месяцев жизни, проводится двукратно с интервалом между прививками не менее 2 месяцев.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трехэтапную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</w:t>
      </w:r>
      <w:r w:rsidRPr="00290D0C">
        <w:rPr>
          <w:rFonts w:ascii="Times New Roman" w:hAnsi="Times New Roman" w:cs="Times New Roman"/>
          <w:sz w:val="24"/>
          <w:szCs w:val="24"/>
        </w:rPr>
        <w:lastRenderedPageBreak/>
        <w:t>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130"/>
      <w:bookmarkEnd w:id="13"/>
      <w:r w:rsidRPr="00290D0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  <w:sectPr w:rsidR="00290D0C" w:rsidRPr="00290D0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35"/>
      <w:bookmarkEnd w:id="14"/>
      <w:r w:rsidRPr="00290D0C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b/>
          <w:bCs/>
          <w:sz w:val="24"/>
          <w:szCs w:val="24"/>
        </w:rPr>
        <w:t>ПРОФИЛАКТИЧЕСКИХ ПРИВИВОК ПО ЭПИДЕМИЧЕСКИМ ПОКАЗАНИЯМ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6"/>
        <w:gridCol w:w="7089"/>
      </w:tblGrid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Категории граждан, подлежащих обязательной вакцинации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туляремии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proofErr w:type="gramEnd"/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и дезинсекционные;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туляремии.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чумы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проживающие на энзоотичных по чуме территориях.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чумы.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бруцеллеза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 очагах козье-овечьего типа бруцеллеза лица, выполняющие следующие работы: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Животноводы, ветеринарные работники, зоотехники в хозяйствах, энзоотичных по бруцеллезу.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бруцеллеза.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сибирской язвы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зооветработники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лица, профессионально занятые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предубойным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скота, а также убоем, снятием шкур и разделкой туш;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сбор, хранение, транспортировка и первичная обработка сырья животного происхождения;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бешенства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С профилактической целью вакцинируют лиц, имеющих высокий риск заражения бешенством: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"уличным" вирусом бешенства;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ветеринарные работники; егеря, охотники, лесники;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выполняющие работы по отлову и содержанию животных.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лептоспироза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- по убою скота, больного лептоспирозом, заготовке и переработке </w:t>
            </w: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и мясопродуктов, полученных от больных лептоспирозом животных;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по отлову и содержанию безнадзорных животных.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лептоспироза.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клещевого вирусного энцефалита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дезинсекционные;</w:t>
            </w:r>
            <w:proofErr w:type="gramEnd"/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клещевого энцефалита.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лихорадки Ку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возбудителей лихорадки Ку.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желтой лихорадки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желтой лихорадки.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холеры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выезжающие в неблагополучные по холере страны (регионы).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субъектов Российской Федерации в случае осложнения санитарно-эпидемиологической обстановки по холере в </w:t>
            </w: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сопредельных странах, а также на территории Российской Федерации.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брюшного тифа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возбудителей брюшного тифа.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на территориях с хроническими водными эпидемиями брюшного тифа.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Лица, выезжающие в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гиперэндемичные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по брюшному тифу страны (регионы).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Контактные лица в очагах брюшного тифа по эпидемическим показаниям.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вирусного гепатита A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организаций (их структурных подразделений) инфекционного профиля.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занятые в сфере общественного питания и коммунального благоустройства.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Дети, посещающие дошкольные образовательные организации и </w:t>
            </w: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отъезжающие в организации, осуществляющие лечение, оздоровление и (или) отдых (по показаниям).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шигеллезами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менингококковой инфекции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A или C.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A или C.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Лица, подлежащие призыву на военную службу.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кори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вирусного гепатита B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дифтерии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полиомиелита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диким</w:t>
            </w:r>
            <w:proofErr w:type="gram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(или при подозрении на заболевание):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дети с 3 месяцев до 18 лет - однократно;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медицинские работники - однократно;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</w:t>
            </w: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трехкратно (при их отсутствии);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лица, контактировавшие с </w:t>
            </w:r>
            <w:proofErr w:type="gram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работающие с живым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пневмококковой инфекции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ротавирусами</w:t>
            </w:r>
            <w:proofErr w:type="spellEnd"/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ветряной оспы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290D0C" w:rsidRPr="00290D0C" w:rsidTr="00290D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Против гемофильной инфекции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0C" w:rsidRPr="00290D0C" w:rsidRDefault="00290D0C" w:rsidP="002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0C">
              <w:rPr>
                <w:rFonts w:ascii="Times New Roman" w:hAnsi="Times New Roman" w:cs="Times New Roman"/>
                <w:sz w:val="24"/>
                <w:szCs w:val="24"/>
              </w:rPr>
              <w:t>Дети, не привитые на первом году жизни против гемофильной инфекции.</w:t>
            </w:r>
          </w:p>
        </w:tc>
      </w:tr>
    </w:tbl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  <w:sectPr w:rsidR="00290D0C" w:rsidRPr="00290D0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32"/>
      <w:bookmarkEnd w:id="16"/>
      <w:r w:rsidRPr="00290D0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t>проведения гражданам профилактических прививок в рамках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t>календаря профилактических прививок</w:t>
      </w:r>
    </w:p>
    <w:p w:rsidR="00290D0C" w:rsidRPr="00290D0C" w:rsidRDefault="00290D0C" w:rsidP="00290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0C">
        <w:rPr>
          <w:rFonts w:ascii="Times New Roman" w:hAnsi="Times New Roman" w:cs="Times New Roman"/>
          <w:b/>
          <w:sz w:val="24"/>
          <w:szCs w:val="24"/>
        </w:rPr>
        <w:t>по эпидемическим показаниям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2. Вакцинацию осуществляют медицинские работники, прошедшие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90D0C">
        <w:rPr>
          <w:rFonts w:ascii="Times New Roman" w:hAnsi="Times New Roman" w:cs="Times New Roman"/>
          <w:sz w:val="24"/>
          <w:szCs w:val="24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>".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0D0C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0D0C">
        <w:rPr>
          <w:rFonts w:ascii="Times New Roman" w:hAnsi="Times New Roman" w:cs="Times New Roman"/>
          <w:sz w:val="24"/>
          <w:szCs w:val="24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290D0C">
        <w:rPr>
          <w:rFonts w:ascii="Times New Roman" w:hAnsi="Times New Roman" w:cs="Times New Roman"/>
          <w:sz w:val="24"/>
          <w:szCs w:val="24"/>
        </w:rPr>
        <w:t xml:space="preserve"> применению лекарственных препаратов, включая наркотические лекарственные </w:t>
      </w:r>
      <w:r w:rsidRPr="00290D0C">
        <w:rPr>
          <w:rFonts w:ascii="Times New Roman" w:hAnsi="Times New Roman" w:cs="Times New Roman"/>
          <w:sz w:val="24"/>
          <w:szCs w:val="24"/>
        </w:rPr>
        <w:lastRenderedPageBreak/>
        <w:t>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полиовирусом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, выделение дикого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полиовируса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90D0C">
        <w:rPr>
          <w:rFonts w:ascii="Times New Roman" w:hAnsi="Times New Roman" w:cs="Times New Roman"/>
          <w:sz w:val="24"/>
          <w:szCs w:val="24"/>
        </w:rPr>
        <w:t>биопробах</w:t>
      </w:r>
      <w:proofErr w:type="spellEnd"/>
      <w:r w:rsidRPr="00290D0C">
        <w:rPr>
          <w:rFonts w:ascii="Times New Roman" w:hAnsi="Times New Roman" w:cs="Times New Roman"/>
          <w:sz w:val="24"/>
          <w:szCs w:val="24"/>
        </w:rP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290D0C" w:rsidRPr="00290D0C" w:rsidRDefault="00290D0C" w:rsidP="00290D0C">
      <w:pPr>
        <w:rPr>
          <w:rFonts w:ascii="Times New Roman" w:hAnsi="Times New Roman" w:cs="Times New Roman"/>
          <w:sz w:val="24"/>
          <w:szCs w:val="24"/>
        </w:rPr>
      </w:pPr>
      <w:r w:rsidRPr="00290D0C">
        <w:rPr>
          <w:rFonts w:ascii="Times New Roman" w:hAnsi="Times New Roman" w:cs="Times New Roman"/>
          <w:sz w:val="24"/>
          <w:szCs w:val="24"/>
        </w:rPr>
        <w:t> </w:t>
      </w:r>
    </w:p>
    <w:p w:rsidR="001249EE" w:rsidRPr="00290D0C" w:rsidRDefault="001249EE">
      <w:pPr>
        <w:rPr>
          <w:rFonts w:ascii="Times New Roman" w:hAnsi="Times New Roman" w:cs="Times New Roman"/>
          <w:sz w:val="24"/>
          <w:szCs w:val="24"/>
        </w:rPr>
      </w:pPr>
    </w:p>
    <w:sectPr w:rsidR="001249EE" w:rsidRPr="002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C"/>
    <w:rsid w:val="001249EE"/>
    <w:rsid w:val="002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96CF-F8D8-42E2-8F8C-2F99227B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3572</Words>
  <Characters>20363</Characters>
  <Application>Microsoft Office Word</Application>
  <DocSecurity>0</DocSecurity>
  <Lines>169</Lines>
  <Paragraphs>47</Paragraphs>
  <ScaleCrop>false</ScaleCrop>
  <Company>KCRB</Company>
  <LinksUpToDate>false</LinksUpToDate>
  <CharactersWithSpaces>23888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Akramova</dc:creator>
  <cp:keywords/>
  <dc:description/>
  <cp:lastModifiedBy>Akramova</cp:lastModifiedBy>
  <cp:revision>1</cp:revision>
  <dcterms:created xsi:type="dcterms:W3CDTF">2015-08-27T06:50:00Z</dcterms:created>
  <dcterms:modified xsi:type="dcterms:W3CDTF">2015-08-27T06:53:00Z</dcterms:modified>
</cp:coreProperties>
</file>